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r>
    </w:p>
    <w:tbl>
      <w:tblPr>
        <w:tblW w:w="11787.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514.2268041237114"/>
        <w:gridCol w:w="10272.98969072165"/>
        <w:gridCol w:w="-3"/>
        <w:gridCol w:w="-3"/>
      </w:tblGrid>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Michael </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sz w:val="24"/>
                <w:highlight w:val="none"/>
                <w:rtl w:val="0"/>
              </w:rPr>
              <w:t xml:space="preserve">I think “Race, Sex and Nerd” article provided an interesting trajectory for the cultural development of the nerd. This would be a good essay be begin thinking about a celebrity study on Neil DeGrassee Tyson.</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 I agree that it is not enough to reverse the “semiotic values” of the black nerd identity, as that reproduces the same boundaries (10). However, consider this statement that AfroFuturism is “most problematically, its preference for artistic and literary approaches over science and technology, economics, politics, and other disciplines.” (11). It seems that it is the artistic and literary qualities of AfroFutruism that provide it with the imaginative elements to work outside existing boundaries. Consider these rap and hip-hop examples.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First, Greydon Square, a scientist and atheist rapper (</w:t>
            </w:r>
            <w:hyperlink r:id="rId5">
              <w:r w:rsidRPr="00000000" w:rsidR="00000000" w:rsidDel="00000000">
                <w:rPr>
                  <w:color w:val="1155cc"/>
                  <w:sz w:val="24"/>
                  <w:highlight w:val="none"/>
                  <w:u w:val="single"/>
                  <w:rtl w:val="0"/>
                </w:rPr>
                <w:t xml:space="preserve">http://www.youtube.com/watch?v=d5R8kok_4d4&amp;feature=related</w:t>
              </w:r>
            </w:hyperlink>
            <w:r w:rsidRPr="00000000" w:rsidR="00000000" w:rsidDel="00000000">
              <w:rPr>
                <w:sz w:val="24"/>
                <w:highlight w:val="none"/>
                <w:rtl w:val="0"/>
              </w:rPr>
              <w:t xml:space="preserve">). I would argue that his reliance on science and opposition to religion makes it hard to work outside a mere reversal. I would not even label him under AF, but he does break down that stereotype. Lost children of Babylon also reverses the role through songs like Pythagorean Theory, in a way more fit with the themes of AfroFuturism.  (</w:t>
            </w:r>
            <w:hyperlink r:id="rId6">
              <w:r w:rsidRPr="00000000" w:rsidR="00000000" w:rsidDel="00000000">
                <w:rPr>
                  <w:color w:val="1155cc"/>
                  <w:sz w:val="24"/>
                  <w:highlight w:val="none"/>
                  <w:u w:val="single"/>
                  <w:rtl w:val="0"/>
                </w:rPr>
                <w:t xml:space="preserve">http://www.youtube.com/watch?v=mlnsjzYmXTg</w:t>
              </w:r>
            </w:hyperlink>
            <w:r w:rsidRPr="00000000" w:rsidR="00000000" w:rsidDel="00000000">
              <w:rPr>
                <w:sz w:val="24"/>
                <w:highlight w:val="none"/>
                <w:rtl w:val="0"/>
              </w:rPr>
              <w:t xml:space="preserve">), but stays within those constructed boundaries. In both of these cases there is a lack of literary and artistic content.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But songs that draw on literary and artistic content seem to be able to re-imagine boundaries around science and technologies. I would argue that it is the artistic and literary elements of AfroFuturism that allow engagement with other disciplines. I am thinking of Cannibal Ox’s  “Battle for Asgard” (</w:t>
            </w:r>
            <w:hyperlink r:id="rId7">
              <w:r w:rsidRPr="00000000" w:rsidR="00000000" w:rsidDel="00000000">
                <w:rPr>
                  <w:color w:val="1155cc"/>
                  <w:sz w:val="24"/>
                  <w:highlight w:val="none"/>
                  <w:u w:val="single"/>
                  <w:rtl w:val="0"/>
                </w:rPr>
                <w:t xml:space="preserve">http://www.youtube.com/watch?v=Z_zaYIjtXOM&amp;bpctr=1353051081</w:t>
              </w:r>
            </w:hyperlink>
            <w:r w:rsidRPr="00000000" w:rsidR="00000000" w:rsidDel="00000000">
              <w:rPr>
                <w:sz w:val="24"/>
                <w:highlight w:val="none"/>
                <w:rtl w:val="0"/>
              </w:rPr>
              <w:t xml:space="preserve">), which details an entry into an epic battle that, arguably, acts as metaphors for large societal struggles around race and class. Then there is Dr. Octagon’s “Earth People,” which describes a character’s arrival to Earth and people’s reactions to his high tech equipment and alien features </w:t>
            </w:r>
            <w:hyperlink r:id="rId8">
              <w:r w:rsidRPr="00000000" w:rsidR="00000000" w:rsidDel="00000000">
                <w:rPr>
                  <w:color w:val="1155cc"/>
                  <w:sz w:val="24"/>
                  <w:highlight w:val="none"/>
                  <w:u w:val="single"/>
                  <w:rtl w:val="0"/>
                </w:rPr>
                <w:t xml:space="preserve">http://www.youtube.com/watch?v=tjKHQeRSvjk</w:t>
              </w:r>
            </w:hyperlink>
            <w:r w:rsidRPr="00000000" w:rsidR="00000000" w:rsidDel="00000000">
              <w:rPr>
                <w:sz w:val="24"/>
                <w:highlight w:val="none"/>
                <w:rtl w:val="0"/>
              </w:rPr>
              <w:t xml:space="preserve">.</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 I think the process of entry either from somewhere foreign to Earth or just into somewhere foreign is an important part of the movement, it allows for a critique and to explore how things could be. Yeah entry is big, that part of the Sun Ra’s documentary where he arrives to the Pool Hall. Perhaps place is an important aspect of the movement as well, if that is so then how would we be able to frame other hip-hop songs about place like Digable Planets “Where I’m From?”</w:t>
            </w:r>
            <w:hyperlink r:id="rId9">
              <w:r w:rsidRPr="00000000" w:rsidR="00000000" w:rsidDel="00000000">
                <w:rPr>
                  <w:sz w:val="24"/>
                  <w:highlight w:val="none"/>
                  <w:rtl w:val="0"/>
                </w:rPr>
                <w:t xml:space="preserve"> </w:t>
              </w:r>
            </w:hyperlink>
            <w:hyperlink r:id="rId10">
              <w:r w:rsidRPr="00000000" w:rsidR="00000000" w:rsidDel="00000000">
                <w:rPr>
                  <w:color w:val="1155cc"/>
                  <w:sz w:val="24"/>
                  <w:highlight w:val="none"/>
                  <w:u w:val="single"/>
                  <w:rtl w:val="0"/>
                </w:rPr>
                <w:t xml:space="preserve">http://www.youtube.com/watch?v=sl-pjb7y3y0</w:t>
              </w:r>
            </w:hyperlink>
            <w:r w:rsidRPr="00000000" w:rsidR="00000000" w:rsidDel="00000000">
              <w:rPr>
                <w:sz w:val="24"/>
                <w:highlight w:val="none"/>
                <w:rtl w:val="0"/>
              </w:rPr>
              <w:t xml:space="preserve">.</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And, doesn’t the nerd/egg head identity continuum between stereotype and anti-stereotype become complicated with A Tribe Called Quest? I am thinking Low-End Theory. http://www.youtube.com/watch?v=JvRp4Pjk8vU</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Dan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sz w:val="24"/>
                <w:highlight w:val="none"/>
                <w:rtl w:val="0"/>
              </w:rPr>
              <w:t xml:space="preserve">"Ehrenreich and English emphasized that not all women had the same histories or needs in the medical system. "For black women, medical racism often overshadows medical sexism. For poor women of all ethinc groups, the problem of how to get services of any kind often overshadows all qualitative concerns… A movement that recognized our biological similarity but denies the diversity of our priorities cannot be a women's health movement, it can only be </w:t>
            </w:r>
            <w:r w:rsidRPr="00000000" w:rsidR="00000000" w:rsidDel="00000000">
              <w:rPr>
                <w:i w:val="1"/>
                <w:sz w:val="24"/>
                <w:highlight w:val="none"/>
                <w:rtl w:val="0"/>
              </w:rPr>
              <w:t xml:space="preserve">Some women's</w:t>
            </w:r>
            <w:r w:rsidRPr="00000000" w:rsidR="00000000" w:rsidDel="00000000">
              <w:rPr>
                <w:sz w:val="24"/>
                <w:highlight w:val="none"/>
                <w:rtl w:val="0"/>
              </w:rPr>
              <w:t xml:space="preserve"> health movement" (1973:86; Italics in original). (Haraway p. 196)</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So, I think what this quote is particularly helpful in trying to think through what I worry about in terms of intersectionality- that our current condition encourages essentialiation both in terms of our own identity and in terms of how we perceive the world of technology and science. What is most dangerous is that the impulse to look at alternative categories for understanding people's interaction falls into identity politics and locks down the ability to renegotiate our stance in the world. For example, in in the case of reproductive technologies, we get the complicated notion of African-Americans who support women's right to reproductive autonomy as being engaged in "black genocide", the characteristic of blackness is held as the totality of identity and all other aspects of character (Classed, gendered, etc.) that have different considerations to reproduction are subsumed. The politics of the dominant demand that you be of the narrowly defined category or not exist at all. The cyborg brings attention to the strangeness of that politic by showing that the identities of people in the West are composed, yes, of the dominant's mode of conceptualizing itself, but also in terms of it's acceptance of non-dominant ideologies and identities into a mixture that is "the 'illegitimate' child of dominant society and oppositional social movement, of science and technology, of the human and the machine, of 'first' and 'third' worlds, of male and female, indeed of every binary" (Sandoval p. 411). This is an important move because it takes the concept of situated knowledge and standpoint theory that I generally associate from Sandra Harding (that does work in legitimizing the standpoint of the outsider as being it's own sort of knowledge and epistemological position of making knowledge claims) and girds it against identity politics where in people are forced to pick a part of their standpoint and use that as dominant epistemological frame. Where Harding might be used to solidify epistemology, Haraway and Sandoval keep it fluid and always renegotiated.</w:t>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db</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I don’t think Eglash ever really gives us a working definition of hipster beyond its antithetical relationship to “nerds.” But I don’t think the hipster is everything the nerd is not. In fact, the hipster relies on the “uncool” for necessary ironic parody and showmanship. There is also a distinct relationship to technology, but that relationship is characterized by what “the fetishization of low-tech is about the illusion of agency; it provides affirmation for the hipster whose identity is defined by the post-Modern imperative to be an individual, to be unique.” (Rey, 2012)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More here: </w:t>
            </w:r>
            <w:hyperlink r:id="rId11">
              <w:r w:rsidRPr="00000000" w:rsidR="00000000" w:rsidDel="00000000">
                <w:rPr>
                  <w:color w:val="1155cc"/>
                  <w:highlight w:val="none"/>
                  <w:u w:val="single"/>
                  <w:rtl w:val="0"/>
                </w:rPr>
                <w:t xml:space="preserve">http://thesocietypages.org/cyborgology/2012/09/26/hipsters-and-low-tech/</w:t>
              </w:r>
            </w:hyperlink>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But really all that you need to watch is this: </w:t>
            </w:r>
            <w:hyperlink r:id="rId12">
              <w:r w:rsidRPr="00000000" w:rsidR="00000000" w:rsidDel="00000000">
                <w:rPr>
                  <w:color w:val="1155cc"/>
                  <w:highlight w:val="none"/>
                  <w:u w:val="single"/>
                  <w:rtl w:val="0"/>
                </w:rPr>
                <w:t xml:space="preserve">http://vimeo.com/36293215#at=0</w:t>
              </w:r>
            </w:hyperlink>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Are we set to face a cultural landscape of afrofuturism and faux-vintage hegemonic amishness? I’m serious about this. While Eglash notes that peer proofing dissuades young african americans from “geeking out” as it were, Simmel and Deluze (according to Rey) see the strong desire to be individual as both a motivating factor and an insidious form of control. If we are living in a historical moment that is earmarked by a </w:t>
            </w:r>
            <w:r w:rsidRPr="00000000" w:rsidR="00000000" w:rsidDel="00000000">
              <w:rPr>
                <w:i w:val="1"/>
                <w:highlight w:val="none"/>
                <w:rtl w:val="0"/>
              </w:rPr>
              <w:t xml:space="preserve">Leo</w:t>
            </w:r>
            <w:r w:rsidRPr="00000000" w:rsidR="00000000" w:rsidDel="00000000">
              <w:rPr>
                <w:highlight w:val="none"/>
                <w:rtl w:val="0"/>
              </w:rPr>
              <w:t xml:space="preserve"> Marxist confusion of technological innovation for social progress, are we doing a disservice to young african american kids by encouraging nerdyness when the most culturally elite groups will probably look to remove themselves from this socio-technical relationship and go back to canning their own beets for fun?</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Cornel West talking about The Matrix: </w:t>
            </w:r>
            <w:hyperlink r:id="rId13">
              <w:r w:rsidRPr="00000000" w:rsidR="00000000" w:rsidDel="00000000">
                <w:rPr>
                  <w:color w:val="1155cc"/>
                  <w:highlight w:val="none"/>
                  <w:u w:val="single"/>
                  <w:rtl w:val="0"/>
                </w:rPr>
                <w:t xml:space="preserve">http://www.youtube.com/watch?v=TNASF0hnZU8</w:t>
              </w:r>
            </w:hyperlink>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Hipster racism: </w:t>
            </w:r>
            <w:hyperlink r:id="rId14">
              <w:r w:rsidRPr="00000000" w:rsidR="00000000" w:rsidDel="00000000">
                <w:rPr>
                  <w:color w:val="1155cc"/>
                  <w:highlight w:val="none"/>
                  <w:u w:val="single"/>
                  <w:rtl w:val="0"/>
                </w:rPr>
                <w:t xml:space="preserve">http://jezebel.com/5905291/a-complete-guide-to-hipster-racism</w:t>
              </w:r>
            </w:hyperlink>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Hipster Sexism: </w:t>
            </w:r>
            <w:hyperlink r:id="rId15">
              <w:r w:rsidRPr="00000000" w:rsidR="00000000" w:rsidDel="00000000">
                <w:rPr>
                  <w:color w:val="1155cc"/>
                  <w:highlight w:val="none"/>
                  <w:u w:val="single"/>
                  <w:rtl w:val="0"/>
                </w:rPr>
                <w:t xml:space="preserve">http://nymag.com/thecut/2012/10/age-of-hipster-sexism.html</w:t>
              </w:r>
            </w:hyperlink>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sz w:val="24"/>
                <w:highlight w:val="none"/>
                <w:rtl w:val="0"/>
              </w:rPr>
              <w:t xml:space="preserve">The way Knudsen framed this gave me pause: “The exclusion of madness in the educational discourse and textbooks may be questioned: In what ways are the educational discourse and textbooks oriented towards the healthy, unproblematic and sensible life rather than towards the problems of living?” (67). This is clearly a Foucauldian framing of the question. Since Haraway and other postmodernists certainly think that bringing the personal proclivities of the scientists and researchers she studies into her analysis is fair game when trying to understand the larger picture in all of its complexity, then why shouldn’t we do the same for Foucault? I speak here of his seemingly intentional death. What does his eventual end say about the whole of his project and all the deviant derivatives that have come after?</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So then, are these criticisms of specific textbooks, or all textbooks? It seems there is no possible way that a textbook could satisfy Knudsen’s expectation...: “Firstly textbooks are too “small” in the sense that they have to reduce the narratives into a few stories. ... Secondly textbooks are a-historical when it comes to cover the present time.” (70)</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Also, doesn’t “intersectionality” reify the very categories it claims to disrupt?</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I wonder, when we open Haraway’s “material-semiotic assemblage” box and begin to interrogate the manufacture of knowledge, what isn’t on the table? How does Haraway ground her statement “There are too many people on Earth...” 205?</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As long as I’m questioning postmodern foundations... I wonder about the general methodology in the more post-modern of the readings, (Haraway, Knudsen). Both make an attempt to “stay true to complexity” in their own way -- Haraway primarily in her rhetorical style and Knudsen with an awkward classification (the anticategorical complexity, the intracategorical complexity and the intercategorical complexity) of the ways in which catagories play off one another. If Western thought has shaved itself with Occam’s razor at least since the Enlightenment, then it makes sense that postmodern theorists would set their methodology in opposition to the dominant reductive paradigm. Nevertheless, I worry that post-structuralism cannot leave behind the structural concerns of its network completely. Imagine two networks, nodes and links spun about in profusion, of equal complexity. One network claims to explain the other. How so? Any attempt to explain how one network relates to the other might be visualized as yet a third, equally complex network. We read Haraway, but any attempt to “explain” Haraway feels as complicated and complex as if we were trying to tackle her original subject matter. A deft rhetorical maneuver: her text is as complex as nature itself.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sz w:val="24"/>
                <w:highlight w:val="none"/>
                <w:rtl w:val="0"/>
              </w:rPr>
              <w:t xml:space="preserve">So, having read Haraway’s piece, I ask, “What </w:t>
            </w:r>
            <w:r w:rsidRPr="00000000" w:rsidR="00000000" w:rsidDel="00000000">
              <w:rPr>
                <w:i w:val="1"/>
                <w:sz w:val="24"/>
                <w:highlight w:val="none"/>
                <w:rtl w:val="0"/>
              </w:rPr>
              <w:t xml:space="preserve">is</w:t>
            </w:r>
            <w:r w:rsidRPr="00000000" w:rsidR="00000000" w:rsidDel="00000000">
              <w:rPr>
                <w:sz w:val="24"/>
                <w:highlight w:val="none"/>
                <w:rtl w:val="0"/>
              </w:rPr>
              <w:t xml:space="preserve"> the best speculum for the job?”</w:t>
            </w:r>
          </w:p>
          <w:p w:rsidP="00000000" w:rsidRPr="00000000" w:rsidR="00000000" w:rsidDel="00000000" w:rsidRDefault="00000000">
            <w:pPr>
              <w:spacing w:lineRule="auto" w:after="0" w:line="240" w:before="0"/>
            </w:pPr>
            <w:r w:rsidRPr="00000000" w:rsidR="00000000" w:rsidDel="00000000">
              <w:rPr>
                <w:rtl w:val="0"/>
              </w:rPr>
            </w:r>
          </w:p>
        </w:tc>
      </w:tr>
      <w:tr>
        <w:trPr>
          <w:trHeight w:val="4920" w:hRule="atLeast"/>
        </w:trP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Ellen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I found the article on Intersectionality to be an interesting comparison to the articles we read a few weeks ago utilizing critical race theory to analyze statistics with mathematical tools and using mathematics for social justice. Knudson’s work to deconstruct normalization within Norwegian textbooks, and the idea of looking at textbooks in general, was interesting.</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 see normalization as a case of intertwining for example nationality and pupilness, and may be followed by inclusion of the middle class, white race and healthy child. On the other hand this kind of presentation excludes other classes but one, other races but the white and disabled children. When normalization incorporates a showing of enlightenment and truth telling, they are often unspoken or written between the lines” (69)</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So, in considering the non-normative, “outsider” perspective, these works seem to have a correlation. That Knudsen also drives home the homogenization of specific outsider groups was relevant. We see this directly in Terry’s piece when he has students deconstruct a chart relating the percentages of African American males of certain age types in prisons.  The main difference is that I see what was done previously with CRT as being more applicable and helpful in the classroom and in actually helping marginalized students to fruitfully deconstruct data instead of just saying “hey, we are being marginalized and homogenized and generalized!” I think the answer that Knudson alludes to is not quite helpful or pushing any boundaries</w:t>
            </w:r>
          </w:p>
          <w:p w:rsidP="00000000" w:rsidRPr="00000000" w:rsidR="00000000" w:rsidDel="00000000" w:rsidRDefault="00000000">
            <w:pPr>
              <w:spacing w:lineRule="auto" w:after="0" w:line="240" w:before="0"/>
            </w:pPr>
            <w:r w:rsidRPr="00000000" w:rsidR="00000000" w:rsidDel="00000000">
              <w:rPr>
                <w:highlight w:val="none"/>
                <w:rtl w:val="0"/>
              </w:rPr>
              <w:t xml:space="preserve"> </w:t>
            </w:r>
          </w:p>
          <w:p w:rsidP="00000000" w:rsidRPr="00000000" w:rsidR="00000000" w:rsidDel="00000000" w:rsidRDefault="00000000">
            <w:pPr>
              <w:spacing w:lineRule="auto" w:after="0" w:line="240" w:before="0"/>
            </w:pPr>
            <w:r w:rsidRPr="00000000" w:rsidR="00000000" w:rsidDel="00000000">
              <w:rPr>
                <w:highlight w:val="none"/>
                <w:rtl w:val="0"/>
              </w:rPr>
              <w:t xml:space="preserve">Ok, so also, “Cyborg” feminism. I am still grappling with all of it but still find it incredibly interesting.</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rtl w:val="0"/>
              </w:rPr>
            </w:r>
          </w:p>
        </w:tc>
      </w:tr>
    </w:tbl>
    <w:p w:rsidP="00000000" w:rsidRPr="00000000" w:rsidR="00000000" w:rsidDel="00000000" w:rsidRDefault="00000000">
      <w:pPr/>
      <w:r w:rsidRPr="00000000" w:rsidR="00000000" w:rsidDel="00000000">
        <w:rPr>
          <w:rtl w:val="0"/>
        </w:rPr>
      </w:r>
    </w:p>
    <w:sectPr>
      <w:pgSz w:w="12240" w:h="15840"/>
      <w:pgMar w:left="267.2164948453608" w:right="192.98969072164948"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http://nymag.com/thecut/2012/10/age-of-hipster-sexism.html" Type="http://schemas.openxmlformats.org/officeDocument/2006/relationships/hyperlink" TargetMode="External" Id="rId15"/><Relationship Target="http://jezebel.com/5905291/a-complete-guide-to-hipster-racism" Type="http://schemas.openxmlformats.org/officeDocument/2006/relationships/hyperlink" TargetMode="External" Id="rId14"/><Relationship Target="fontTable.xml" Type="http://schemas.openxmlformats.org/officeDocument/2006/relationships/fontTable" Id="rId2"/><Relationship Target="http://vimeo.com/36293215#at=0" Type="http://schemas.openxmlformats.org/officeDocument/2006/relationships/hyperlink" TargetMode="External" Id="rId12"/><Relationship Target="settings.xml" Type="http://schemas.openxmlformats.org/officeDocument/2006/relationships/settings" Id="rId1"/><Relationship Target="http://www.youtube.com/watch?v=TNASF0hnZU8" Type="http://schemas.openxmlformats.org/officeDocument/2006/relationships/hyperlink" TargetMode="External" Id="rId13"/><Relationship Target="styles.xml" Type="http://schemas.openxmlformats.org/officeDocument/2006/relationships/styles" Id="rId4"/><Relationship Target="http://www.youtube.com/watch?v=sl-pjb7y3y0" Type="http://schemas.openxmlformats.org/officeDocument/2006/relationships/hyperlink" TargetMode="External" Id="rId10"/><Relationship Target="numbering.xml" Type="http://schemas.openxmlformats.org/officeDocument/2006/relationships/numbering" Id="rId3"/><Relationship Target="http://thesocietypages.org/cyborgology/2012/09/26/hipsters-and-low-tech/" Type="http://schemas.openxmlformats.org/officeDocument/2006/relationships/hyperlink" TargetMode="External" Id="rId11"/><Relationship Target="http://www.youtube.com/watch?v=sl-pjb7y3y0" Type="http://schemas.openxmlformats.org/officeDocument/2006/relationships/hyperlink" TargetMode="External" Id="rId9"/><Relationship Target="http://www.youtube.com/watch?v=mlnsjzYmXTg" Type="http://schemas.openxmlformats.org/officeDocument/2006/relationships/hyperlink" TargetMode="External" Id="rId6"/><Relationship Target="http://www.youtube.com/watch?v=d5R8kok_4d4&amp;feature=related" Type="http://schemas.openxmlformats.org/officeDocument/2006/relationships/hyperlink" TargetMode="External" Id="rId5"/><Relationship Target="http://www.youtube.com/watch?v=tjKHQeRSvjk" Type="http://schemas.openxmlformats.org/officeDocument/2006/relationships/hyperlink" TargetMode="External" Id="rId8"/><Relationship Target="http://www.youtube.com/watch?v=Z_zaYIjtXOM&amp;bpctr=1353051081"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Nov 16.docx</dc:title>
</cp:coreProperties>
</file>